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tabs>
          <w:tab w:leader="none" w:pos="616" w:val="center"/>
        </w:tabs>
        <w:ind w:firstLine="0" w:left="5812" w:right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</w:t>
      </w:r>
      <w:r>
        <w:rPr>
          <w:rFonts w:ascii="Times New Roman" w:hAnsi="Times New Roman"/>
          <w:sz w:val="24"/>
        </w:rPr>
        <w:t xml:space="preserve"> 1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</w:p>
    <w:p w14:paraId="02000000">
      <w:pPr>
        <w:pStyle w:val="Style_1"/>
        <w:widowControl w:val="1"/>
        <w:tabs>
          <w:tab w:leader="none" w:pos="616" w:val="center"/>
        </w:tabs>
        <w:ind w:firstLine="0" w:left="5812" w:right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Совета депутатов</w:t>
      </w:r>
    </w:p>
    <w:p w14:paraId="03000000">
      <w:pPr>
        <w:pStyle w:val="Style_1"/>
        <w:widowControl w:val="1"/>
        <w:tabs>
          <w:tab w:leader="none" w:pos="616" w:val="center"/>
        </w:tabs>
        <w:ind w:firstLine="0" w:left="5812" w:right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сельского поселения Селиярово</w:t>
      </w:r>
    </w:p>
    <w:p w14:paraId="04000000">
      <w:pPr>
        <w:pStyle w:val="Style_1"/>
        <w:widowControl w:val="1"/>
        <w:tabs>
          <w:tab w:leader="none" w:pos="616" w:val="center"/>
        </w:tabs>
        <w:ind w:firstLine="0" w:left="5812" w:right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  19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.20</w:t>
      </w:r>
      <w:r>
        <w:rPr>
          <w:rFonts w:ascii="Times New Roman" w:hAnsi="Times New Roman"/>
          <w:sz w:val="24"/>
        </w:rPr>
        <w:t>24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№ 36</w:t>
      </w:r>
    </w:p>
    <w:p w14:paraId="05000000">
      <w:pPr>
        <w:pStyle w:val="Style_1"/>
        <w:widowControl w:val="1"/>
        <w:ind w:firstLine="540" w:left="0" w:right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</w:t>
      </w:r>
    </w:p>
    <w:p w14:paraId="06000000">
      <w:pPr>
        <w:pStyle w:val="Style_2"/>
        <w:widowControl w:val="1"/>
        <w:ind w:right="0"/>
        <w:jc w:val="right"/>
        <w:rPr>
          <w:rFonts w:ascii="Times New Roman" w:hAnsi="Times New Roman"/>
        </w:rPr>
      </w:pPr>
    </w:p>
    <w:p w14:paraId="07000000">
      <w:pPr>
        <w:pStyle w:val="Style_1"/>
        <w:widowControl w:val="1"/>
        <w:ind w:firstLine="0" w:left="0" w:right="0"/>
        <w:jc w:val="center"/>
        <w:rPr>
          <w:rFonts w:ascii="Times New Roman" w:hAnsi="Times New Roman"/>
          <w:b w:val="1"/>
          <w:sz w:val="24"/>
        </w:rPr>
      </w:pPr>
    </w:p>
    <w:p w14:paraId="08000000">
      <w:pPr>
        <w:pStyle w:val="Style_1"/>
        <w:widowControl w:val="1"/>
        <w:ind w:firstLine="0" w:left="0" w:right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ИСТОЧНИКИ</w:t>
      </w:r>
    </w:p>
    <w:p w14:paraId="09000000">
      <w:pPr>
        <w:pStyle w:val="Style_1"/>
        <w:widowControl w:val="1"/>
        <w:ind w:firstLine="0" w:left="0" w:right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 ФИНАНСИРОВАНИЯ ДЕФИЦИТА БЮДЖЕТА</w:t>
      </w:r>
    </w:p>
    <w:p w14:paraId="0A000000">
      <w:pPr>
        <w:pStyle w:val="Style_1"/>
        <w:widowControl w:val="1"/>
        <w:ind w:firstLine="0" w:left="0" w:right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СЕЛЬ</w:t>
      </w:r>
      <w:r>
        <w:rPr>
          <w:rFonts w:ascii="Times New Roman" w:hAnsi="Times New Roman"/>
          <w:b w:val="1"/>
          <w:sz w:val="24"/>
        </w:rPr>
        <w:t>СКОГО ПОСЕЛЕНИЯ  СЕЛИЯРОВО</w:t>
      </w: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НА 20</w:t>
      </w:r>
      <w:r>
        <w:rPr>
          <w:rFonts w:ascii="Times New Roman" w:hAnsi="Times New Roman"/>
          <w:b w:val="1"/>
          <w:sz w:val="24"/>
        </w:rPr>
        <w:t>2</w:t>
      </w:r>
      <w:r>
        <w:rPr>
          <w:rFonts w:ascii="Times New Roman" w:hAnsi="Times New Roman"/>
          <w:b w:val="1"/>
          <w:sz w:val="24"/>
        </w:rPr>
        <w:t>4</w:t>
      </w: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Г</w:t>
      </w:r>
      <w:r>
        <w:rPr>
          <w:rFonts w:ascii="Times New Roman" w:hAnsi="Times New Roman"/>
          <w:b w:val="1"/>
          <w:sz w:val="24"/>
        </w:rPr>
        <w:t>ОД</w:t>
      </w:r>
      <w:r>
        <w:rPr>
          <w:rFonts w:ascii="Times New Roman" w:hAnsi="Times New Roman"/>
          <w:b w:val="1"/>
          <w:sz w:val="24"/>
        </w:rPr>
        <w:t xml:space="preserve"> </w:t>
      </w:r>
    </w:p>
    <w:p w14:paraId="0B000000">
      <w:pPr>
        <w:pStyle w:val="Style_1"/>
        <w:widowControl w:val="1"/>
        <w:ind w:firstLine="0" w:left="0" w:right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и плановый период 20</w:t>
      </w:r>
      <w:r>
        <w:rPr>
          <w:rFonts w:ascii="Times New Roman" w:hAnsi="Times New Roman"/>
          <w:b w:val="1"/>
          <w:sz w:val="24"/>
        </w:rPr>
        <w:t>2</w:t>
      </w:r>
      <w:r>
        <w:rPr>
          <w:rFonts w:ascii="Times New Roman" w:hAnsi="Times New Roman"/>
          <w:b w:val="1"/>
          <w:sz w:val="24"/>
        </w:rPr>
        <w:t>5</w:t>
      </w:r>
      <w:r>
        <w:rPr>
          <w:rFonts w:ascii="Times New Roman" w:hAnsi="Times New Roman"/>
          <w:b w:val="1"/>
          <w:sz w:val="24"/>
        </w:rPr>
        <w:t xml:space="preserve"> и </w:t>
      </w:r>
      <w:r>
        <w:rPr>
          <w:rFonts w:ascii="Times New Roman" w:hAnsi="Times New Roman"/>
          <w:b w:val="1"/>
          <w:sz w:val="24"/>
        </w:rPr>
        <w:t>202</w:t>
      </w:r>
      <w:r>
        <w:rPr>
          <w:rFonts w:ascii="Times New Roman" w:hAnsi="Times New Roman"/>
          <w:b w:val="1"/>
          <w:sz w:val="24"/>
        </w:rPr>
        <w:t>6</w:t>
      </w:r>
      <w:r>
        <w:rPr>
          <w:rFonts w:ascii="Times New Roman" w:hAnsi="Times New Roman"/>
          <w:b w:val="1"/>
          <w:sz w:val="24"/>
        </w:rPr>
        <w:t xml:space="preserve"> годов</w:t>
      </w:r>
    </w:p>
    <w:p w14:paraId="0C000000">
      <w:pPr>
        <w:pStyle w:val="Style_1"/>
        <w:widowControl w:val="1"/>
        <w:ind w:firstLine="0" w:left="0" w:right="0"/>
        <w:jc w:val="center"/>
        <w:rPr>
          <w:rFonts w:ascii="Times New Roman" w:hAnsi="Times New Roman"/>
          <w:b w:val="1"/>
          <w:sz w:val="24"/>
        </w:rPr>
      </w:pPr>
    </w:p>
    <w:p w14:paraId="0D000000">
      <w:pPr>
        <w:pStyle w:val="Style_2"/>
        <w:widowControl w:val="1"/>
        <w:ind w:right="0"/>
        <w:jc w:val="center"/>
        <w:rPr>
          <w:rFonts w:ascii="Times New Roman" w:hAnsi="Times New Roman"/>
        </w:rPr>
      </w:pPr>
    </w:p>
    <w:tbl>
      <w:tblPr>
        <w:tblStyle w:val="Style_3"/>
        <w:tblInd w:type="dxa" w:w="-540"/>
        <w:tblLayout w:type="fixed"/>
        <w:tblCellMar>
          <w:left w:type="dxa" w:w="70"/>
          <w:right w:type="dxa" w:w="70"/>
        </w:tblCellMar>
      </w:tblPr>
      <w:tblGrid>
        <w:gridCol w:w="3020"/>
        <w:gridCol w:w="4111"/>
        <w:gridCol w:w="1134"/>
        <w:gridCol w:w="1134"/>
        <w:gridCol w:w="1134"/>
      </w:tblGrid>
      <w:tr>
        <w:trPr>
          <w:trHeight w:hRule="atLeast" w:val="720"/>
        </w:trPr>
        <w:tc>
          <w:tcPr>
            <w:tcW w:type="dxa" w:w="30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0E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</w:tc>
        <w:tc>
          <w:tcPr>
            <w:tcW w:type="dxa" w:w="41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0F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</w:rPr>
              <w:t xml:space="preserve"> кода </w:t>
            </w:r>
            <w:r>
              <w:rPr>
                <w:rFonts w:ascii="Times New Roman" w:hAnsi="Times New Roman"/>
                <w:sz w:val="24"/>
              </w:rPr>
              <w:t>групп</w:t>
            </w:r>
            <w:r>
              <w:rPr>
                <w:rFonts w:ascii="Times New Roman" w:hAnsi="Times New Roman"/>
                <w:sz w:val="24"/>
              </w:rPr>
              <w:t>ы</w:t>
            </w:r>
            <w:r>
              <w:rPr>
                <w:rFonts w:ascii="Times New Roman" w:hAnsi="Times New Roman"/>
                <w:sz w:val="24"/>
              </w:rPr>
              <w:t>, подгрупп</w:t>
            </w:r>
            <w:r>
              <w:rPr>
                <w:rFonts w:ascii="Times New Roman" w:hAnsi="Times New Roman"/>
                <w:sz w:val="24"/>
              </w:rPr>
              <w:t>ы, статьи</w:t>
            </w:r>
            <w:r>
              <w:rPr>
                <w:rFonts w:ascii="Times New Roman" w:hAnsi="Times New Roman"/>
                <w:sz w:val="24"/>
              </w:rPr>
              <w:t xml:space="preserve">, 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вида источников финансирования дефицита бюджета, кода классификации операций сектора государственного управления, относящимся к источникам финансирования </w:t>
            </w:r>
            <w:r>
              <w:rPr>
                <w:rFonts w:ascii="Times New Roman" w:hAnsi="Times New Roman"/>
                <w:sz w:val="24"/>
              </w:rPr>
              <w:t>дефицита бюджета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0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Сумма,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тыс.руб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20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1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Сумма,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тыс.руб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 xml:space="preserve"> 2</w:t>
            </w: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2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Сумма,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тыс.руб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202</w:t>
            </w:r>
            <w:r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</w:tc>
      </w:tr>
      <w:tr>
        <w:trPr>
          <w:trHeight w:hRule="atLeast" w:val="600"/>
        </w:trPr>
        <w:tc>
          <w:tcPr>
            <w:tcW w:type="dxa" w:w="30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3000000">
            <w:pPr>
              <w:pStyle w:val="Style_4"/>
              <w:widowControl w:val="1"/>
              <w:ind w:right="0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650 01 03 0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00 0000 000</w:t>
            </w:r>
          </w:p>
        </w:tc>
        <w:tc>
          <w:tcPr>
            <w:tcW w:type="dxa" w:w="41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4000000">
            <w:pPr>
              <w:pStyle w:val="Style_4"/>
              <w:widowControl w:val="1"/>
              <w:ind w:right="0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15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16000000">
            <w:pPr>
              <w:ind/>
              <w:jc w:val="center"/>
            </w:pPr>
            <w:r>
              <w:rPr>
                <w:b w:val="1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17000000">
            <w:pPr>
              <w:ind/>
              <w:jc w:val="center"/>
            </w:pPr>
            <w:r>
              <w:rPr>
                <w:b w:val="1"/>
              </w:rPr>
              <w:t>0,0</w:t>
            </w:r>
          </w:p>
        </w:tc>
      </w:tr>
      <w:tr>
        <w:trPr>
          <w:trHeight w:hRule="atLeast" w:val="600"/>
        </w:trPr>
        <w:tc>
          <w:tcPr>
            <w:tcW w:type="dxa" w:w="30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8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01 03 00 00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0000 710</w:t>
            </w:r>
          </w:p>
        </w:tc>
        <w:tc>
          <w:tcPr>
            <w:tcW w:type="dxa" w:w="41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9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1A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1B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1C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,0</w:t>
            </w:r>
          </w:p>
        </w:tc>
      </w:tr>
      <w:tr>
        <w:trPr>
          <w:trHeight w:hRule="atLeast" w:val="480"/>
        </w:trPr>
        <w:tc>
          <w:tcPr>
            <w:tcW w:type="dxa" w:w="30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D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01 03 00 00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0000 810</w:t>
            </w:r>
          </w:p>
        </w:tc>
        <w:tc>
          <w:tcPr>
            <w:tcW w:type="dxa" w:w="41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E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1F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0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1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>
        <w:trPr>
          <w:trHeight w:hRule="atLeast" w:val="240"/>
        </w:trPr>
        <w:tc>
          <w:tcPr>
            <w:tcW w:type="dxa" w:w="30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2000000">
            <w:pPr>
              <w:pStyle w:val="Style_4"/>
              <w:widowControl w:val="1"/>
              <w:ind w:right="0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650 01 05 00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00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00 0000 000</w:t>
            </w:r>
          </w:p>
        </w:tc>
        <w:tc>
          <w:tcPr>
            <w:tcW w:type="dxa" w:w="41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3000000">
            <w:pPr>
              <w:pStyle w:val="Style_4"/>
              <w:widowControl w:val="1"/>
              <w:ind w:right="0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Изменение остатков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средств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на счетах  по учету средств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бюджета                 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4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5000000">
            <w:pPr>
              <w:ind/>
              <w:jc w:val="center"/>
            </w:pPr>
            <w:r>
              <w:rPr>
                <w:b w:val="1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6000000">
            <w:pPr>
              <w:ind/>
              <w:jc w:val="center"/>
            </w:pPr>
            <w:r>
              <w:rPr>
                <w:b w:val="1"/>
              </w:rPr>
              <w:t>0,0</w:t>
            </w:r>
          </w:p>
        </w:tc>
      </w:tr>
      <w:tr>
        <w:trPr>
          <w:trHeight w:hRule="atLeast" w:val="240"/>
        </w:trPr>
        <w:tc>
          <w:tcPr>
            <w:tcW w:type="dxa" w:w="30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7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0 01 05 02 01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0000 510 </w:t>
            </w:r>
          </w:p>
        </w:tc>
        <w:tc>
          <w:tcPr>
            <w:tcW w:type="dxa" w:w="41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8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 xml:space="preserve">Увеличение прочих  остатков денежных средств бюджетов 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сельских </w:t>
            </w:r>
            <w:r>
              <w:rPr>
                <w:rFonts w:ascii="Times New Roman" w:hAnsi="Times New Roman"/>
                <w:color w:val="000000"/>
                <w:sz w:val="23"/>
              </w:rPr>
              <w:t>поселений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9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83 889,3</w:t>
            </w:r>
          </w:p>
          <w:p w14:paraId="2A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B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35 233,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C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34 720,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</w:tr>
      <w:tr>
        <w:trPr>
          <w:trHeight w:hRule="atLeast" w:val="531"/>
        </w:trPr>
        <w:tc>
          <w:tcPr>
            <w:tcW w:type="dxa" w:w="30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D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0 01 05 02 01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0000 610</w:t>
            </w:r>
          </w:p>
        </w:tc>
        <w:tc>
          <w:tcPr>
            <w:tcW w:type="dxa" w:w="41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E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Уменьшение прочих остатков денежных средств бюджетов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сельских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3"/>
              </w:rPr>
              <w:t>поселений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                          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F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</w:p>
          <w:p w14:paraId="30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103 410,9</w:t>
            </w:r>
          </w:p>
          <w:p w14:paraId="31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2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35 233,3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3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34 720,0</w:t>
            </w:r>
          </w:p>
        </w:tc>
      </w:tr>
      <w:tr>
        <w:trPr>
          <w:trHeight w:hRule="atLeast" w:val="360"/>
        </w:trPr>
        <w:tc>
          <w:tcPr>
            <w:tcW w:type="dxa" w:w="30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4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650 01 06 05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00 00 0000 000</w:t>
            </w:r>
          </w:p>
        </w:tc>
        <w:tc>
          <w:tcPr>
            <w:tcW w:type="dxa" w:w="41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5000000">
            <w:pPr>
              <w:pStyle w:val="Style_4"/>
              <w:widowControl w:val="1"/>
              <w:ind w:right="0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6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7000000">
            <w:pPr>
              <w:ind/>
              <w:jc w:val="center"/>
            </w:pPr>
            <w:r>
              <w:rPr>
                <w:b w:val="1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8000000">
            <w:pPr>
              <w:ind/>
              <w:jc w:val="center"/>
            </w:pPr>
            <w:r>
              <w:rPr>
                <w:b w:val="1"/>
              </w:rPr>
              <w:t>0,0</w:t>
            </w:r>
          </w:p>
        </w:tc>
      </w:tr>
      <w:tr>
        <w:trPr>
          <w:trHeight w:hRule="atLeast" w:val="360"/>
        </w:trPr>
        <w:tc>
          <w:tcPr>
            <w:tcW w:type="dxa" w:w="30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9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0 01 06 05 01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0000 640</w:t>
            </w:r>
          </w:p>
        </w:tc>
        <w:tc>
          <w:tcPr>
            <w:tcW w:type="dxa" w:w="41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A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 xml:space="preserve">Возврат бюджетных кредитов, предоставленных юридическим лицам из бюджетов </w:t>
            </w:r>
            <w:r>
              <w:rPr>
                <w:rFonts w:ascii="Times New Roman" w:hAnsi="Times New Roman"/>
                <w:color w:val="000000"/>
                <w:sz w:val="23"/>
              </w:rPr>
              <w:t>сельских поселений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в валюте Российской Федерации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B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C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D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>
        <w:trPr>
          <w:trHeight w:hRule="atLeast" w:val="360"/>
        </w:trPr>
        <w:tc>
          <w:tcPr>
            <w:tcW w:type="dxa" w:w="30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E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>65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0 01 06 05 01 </w:t>
            </w:r>
            <w:r>
              <w:rPr>
                <w:rFonts w:ascii="Times New Roman" w:hAnsi="Times New Roman"/>
                <w:color w:val="000000"/>
                <w:sz w:val="23"/>
              </w:rPr>
              <w:t>10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0000 540</w:t>
            </w:r>
          </w:p>
        </w:tc>
        <w:tc>
          <w:tcPr>
            <w:tcW w:type="dxa" w:w="41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F000000">
            <w:pPr>
              <w:pStyle w:val="Style_4"/>
              <w:widowControl w:val="1"/>
              <w:ind w:right="0"/>
              <w:rPr>
                <w:rFonts w:ascii="Times New Roman" w:hAnsi="Times New Roman"/>
                <w:color w:val="000000"/>
                <w:sz w:val="23"/>
              </w:rPr>
            </w:pPr>
            <w:r>
              <w:rPr>
                <w:rFonts w:ascii="Times New Roman" w:hAnsi="Times New Roman"/>
                <w:color w:val="000000"/>
                <w:sz w:val="23"/>
              </w:rPr>
              <w:t xml:space="preserve"> Предоставление бюджетных кредитов юридическим лицам из бюджетов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сельских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3"/>
              </w:rPr>
              <w:t>поселений</w:t>
            </w:r>
            <w:r>
              <w:rPr>
                <w:rFonts w:ascii="Times New Roman" w:hAnsi="Times New Roman"/>
                <w:color w:val="000000"/>
                <w:sz w:val="23"/>
              </w:rPr>
              <w:t xml:space="preserve"> в валюте Российской Федерации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0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1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2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</w:tr>
      <w:tr>
        <w:trPr>
          <w:trHeight w:hRule="atLeast" w:val="360"/>
        </w:trPr>
        <w:tc>
          <w:tcPr>
            <w:tcW w:type="dxa" w:w="30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3000000">
            <w:pPr>
              <w:pStyle w:val="Style_4"/>
              <w:widowControl w:val="1"/>
              <w:ind w:right="0"/>
              <w:rPr>
                <w:rFonts w:ascii="Times New Roman" w:hAnsi="Times New Roman"/>
                <w:b w:val="1"/>
                <w:color w:val="000000"/>
                <w:sz w:val="24"/>
              </w:rPr>
            </w:pPr>
          </w:p>
        </w:tc>
        <w:tc>
          <w:tcPr>
            <w:tcW w:type="dxa" w:w="41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4000000">
            <w:pPr>
              <w:pStyle w:val="Style_4"/>
              <w:widowControl w:val="1"/>
              <w:ind w:right="0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источников финансирования дефицита бюджета         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5000000">
            <w:pPr>
              <w:pStyle w:val="Style_4"/>
              <w:widowControl w:val="1"/>
              <w:ind w:righ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19 521,6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6000000">
            <w:pPr>
              <w:ind/>
              <w:jc w:val="center"/>
            </w:pPr>
            <w:r>
              <w:rPr>
                <w:b w:val="1"/>
              </w:rPr>
              <w:t>0,0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7000000">
            <w:pPr>
              <w:ind/>
              <w:jc w:val="center"/>
            </w:pPr>
            <w:r>
              <w:rPr>
                <w:b w:val="1"/>
              </w:rPr>
              <w:t>0,0</w:t>
            </w:r>
          </w:p>
        </w:tc>
      </w:tr>
    </w:tbl>
    <w:p w14:paraId="48000000">
      <w:pPr>
        <w:rPr>
          <w:color w:val="000000"/>
        </w:rPr>
      </w:pPr>
    </w:p>
    <w:p w14:paraId="49000000">
      <w:pPr>
        <w:rPr>
          <w:color w:val="000000"/>
        </w:rPr>
      </w:pPr>
    </w:p>
    <w:sectPr>
      <w:pgSz w:h="16838" w:orient="portrait" w:w="11906"/>
      <w:pgMar w:bottom="284" w:footer="709" w:gutter="0" w:header="709" w:left="1418" w:right="567" w:top="28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4" w:type="paragraph">
    <w:name w:val="ConsCell"/>
    <w:link w:val="Style_4_ch"/>
    <w:pPr>
      <w:widowControl w:val="0"/>
      <w:ind w:right="19772"/>
    </w:pPr>
    <w:rPr>
      <w:rFonts w:ascii="Arial" w:hAnsi="Arial"/>
    </w:rPr>
  </w:style>
  <w:style w:styleId="Style_4_ch" w:type="character">
    <w:name w:val="ConsCell"/>
    <w:link w:val="Style_4"/>
    <w:rPr>
      <w:rFonts w:ascii="Arial" w:hAnsi="Arial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" w:type="paragraph">
    <w:name w:val="ConsNormal"/>
    <w:link w:val="Style_1_ch"/>
    <w:pPr>
      <w:widowControl w:val="0"/>
      <w:ind w:firstLine="720" w:left="0" w:right="19772"/>
    </w:pPr>
    <w:rPr>
      <w:rFonts w:ascii="Arial" w:hAnsi="Arial"/>
    </w:rPr>
  </w:style>
  <w:style w:styleId="Style_1_ch" w:type="character">
    <w:name w:val="ConsNormal"/>
    <w:link w:val="Style_1"/>
    <w:rPr>
      <w:rFonts w:ascii="Arial" w:hAnsi="Arial"/>
    </w:rPr>
  </w:style>
  <w:style w:styleId="Style_12" w:type="paragraph">
    <w:name w:val="toc 3"/>
    <w:next w:val="Style_5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5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5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5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5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" w:type="paragraph">
    <w:name w:val="ConsNonformat"/>
    <w:link w:val="Style_2_ch"/>
    <w:pPr>
      <w:widowControl w:val="0"/>
      <w:ind w:right="19772"/>
    </w:pPr>
    <w:rPr>
      <w:rFonts w:ascii="Courier New" w:hAnsi="Courier New"/>
    </w:rPr>
  </w:style>
  <w:style w:styleId="Style_2_ch" w:type="character">
    <w:name w:val="ConsNonformat"/>
    <w:link w:val="Style_2"/>
    <w:rPr>
      <w:rFonts w:ascii="Courier New" w:hAnsi="Courier New"/>
    </w:rPr>
  </w:style>
  <w:style w:styleId="Style_20" w:type="paragraph">
    <w:name w:val="toc 8"/>
    <w:next w:val="Style_5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Balloon Text"/>
    <w:basedOn w:val="Style_5"/>
    <w:link w:val="Style_21_ch"/>
    <w:rPr>
      <w:rFonts w:ascii="Tahoma" w:hAnsi="Tahoma"/>
      <w:sz w:val="16"/>
    </w:rPr>
  </w:style>
  <w:style w:styleId="Style_21_ch" w:type="character">
    <w:name w:val="Balloon Text"/>
    <w:basedOn w:val="Style_5_ch"/>
    <w:link w:val="Style_21"/>
    <w:rPr>
      <w:rFonts w:ascii="Tahoma" w:hAnsi="Tahoma"/>
      <w:sz w:val="16"/>
    </w:rPr>
  </w:style>
  <w:style w:styleId="Style_22" w:type="paragraph">
    <w:name w:val="toc 5"/>
    <w:next w:val="Style_5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5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List Paragraph"/>
    <w:basedOn w:val="Style_5"/>
    <w:link w:val="Style_24_ch"/>
    <w:pPr>
      <w:ind w:firstLine="0" w:left="708"/>
    </w:pPr>
  </w:style>
  <w:style w:styleId="Style_24_ch" w:type="character">
    <w:name w:val="List Paragraph"/>
    <w:basedOn w:val="Style_5_ch"/>
    <w:link w:val="Style_24"/>
  </w:style>
  <w:style w:styleId="Style_25" w:type="paragraph">
    <w:name w:val="Title"/>
    <w:next w:val="Style_5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5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5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2024-10-07T04:55:45Z</dcterms:modified>
</cp:coreProperties>
</file>